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F0A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F0AF1" w:rsidRDefault="001144E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DF0AF1" w:rsidRDefault="001144EF">
            <w:pPr>
              <w:spacing w:after="0" w:line="240" w:lineRule="auto"/>
            </w:pPr>
            <w:r>
              <w:t>34346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F0AF1" w:rsidRDefault="001144EF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DF0AF1" w:rsidRDefault="001144EF">
            <w:pPr>
              <w:spacing w:after="0" w:line="240" w:lineRule="auto"/>
            </w:pPr>
            <w:r>
              <w:t>DJEČJI VRTIĆ I JASLICE DUGA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F0AF1" w:rsidRDefault="001144EF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DF0AF1" w:rsidRDefault="001144EF">
            <w:pPr>
              <w:spacing w:after="0" w:line="240" w:lineRule="auto"/>
            </w:pPr>
            <w:r>
              <w:t>21</w:t>
            </w:r>
          </w:p>
        </w:tc>
      </w:tr>
    </w:tbl>
    <w:p w:rsidR="00DF0AF1" w:rsidRDefault="001144EF">
      <w:r>
        <w:br/>
      </w:r>
    </w:p>
    <w:p w:rsidR="00DF0AF1" w:rsidRDefault="001144E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F0AF1" w:rsidRDefault="001144E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F0AF1" w:rsidRDefault="001144E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F0AF1" w:rsidRDefault="00DF0AF1"/>
    <w:p w:rsidR="00DF0AF1" w:rsidRDefault="001144E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2.162.005,26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2.737.208,24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2.113.487,33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2.917.812,54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180.604,30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23.703,57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37,5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23.703,57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8.877,93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37,5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189.482,23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F0AF1" w:rsidRDefault="00DF0AF1">
      <w:pPr>
        <w:spacing w:after="0"/>
      </w:pPr>
    </w:p>
    <w:p w:rsidR="00DF0AF1" w:rsidRDefault="001144EF"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jaslice</w:t>
      </w:r>
      <w:proofErr w:type="spellEnd"/>
      <w:r>
        <w:t xml:space="preserve"> Duga je </w:t>
      </w:r>
      <w:proofErr w:type="spellStart"/>
      <w:r>
        <w:t>proračunski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Grada Umaga </w:t>
      </w:r>
      <w:proofErr w:type="spellStart"/>
      <w:r>
        <w:t>i</w:t>
      </w:r>
      <w:proofErr w:type="spellEnd"/>
      <w:r>
        <w:t xml:space="preserve"> od 2009.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gramStart"/>
      <w:r>
        <w:t>je  </w:t>
      </w:r>
      <w:proofErr w:type="spellStart"/>
      <w:r>
        <w:t>Lokalne</w:t>
      </w:r>
      <w:proofErr w:type="spellEnd"/>
      <w:proofErr w:type="gramEnd"/>
      <w:r>
        <w:t xml:space="preserve"> </w:t>
      </w:r>
      <w:proofErr w:type="spellStart"/>
      <w:r>
        <w:t>riznice</w:t>
      </w:r>
      <w:proofErr w:type="spellEnd"/>
      <w:r>
        <w:t xml:space="preserve"> Grada Umaga.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o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Grada Umaga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prioritetno</w:t>
      </w:r>
      <w:proofErr w:type="spellEnd"/>
      <w:r>
        <w:t xml:space="preserve"> se terete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do</w:t>
      </w:r>
      <w:r>
        <w:t>nacija</w:t>
      </w:r>
      <w:proofErr w:type="spellEnd"/>
      <w:r>
        <w:t xml:space="preserve">,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Grada Umaga. </w:t>
      </w:r>
      <w:proofErr w:type="spellStart"/>
      <w:r>
        <w:t>Financijski</w:t>
      </w:r>
      <w:proofErr w:type="spellEnd"/>
      <w:r>
        <w:t xml:space="preserve"> plan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jaslica</w:t>
      </w:r>
      <w:proofErr w:type="spellEnd"/>
      <w:r>
        <w:t xml:space="preserve"> „</w:t>
      </w:r>
      <w:proofErr w:type="gramStart"/>
      <w:r>
        <w:t>Duga“ Umag</w:t>
      </w:r>
      <w:proofErr w:type="gram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od 3.149.490,00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</w:t>
      </w:r>
      <w:r>
        <w:t>osu</w:t>
      </w:r>
      <w:proofErr w:type="spellEnd"/>
      <w:r>
        <w:t xml:space="preserve"> od 3.164.930,00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2.737.208,24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86,91% </w:t>
      </w:r>
      <w:proofErr w:type="spellStart"/>
      <w:r>
        <w:t>od</w:t>
      </w:r>
      <w:proofErr w:type="spellEnd"/>
      <w:r>
        <w:t xml:space="preserve"> </w:t>
      </w:r>
      <w:proofErr w:type="spellStart"/>
      <w:r>
        <w:lastRenderedPageBreak/>
        <w:t>planiranog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. 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obračunato</w:t>
      </w:r>
      <w:proofErr w:type="spellEnd"/>
      <w:r>
        <w:t xml:space="preserve"> je 2.917.812,54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92,64%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planiranog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>.</w:t>
      </w:r>
    </w:p>
    <w:p w:rsidR="00DF0AF1" w:rsidRDefault="001144EF">
      <w:r>
        <w:t xml:space="preserve">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</w:t>
      </w:r>
      <w:r>
        <w:t>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8.877,93 EUR.  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180.604,30 EUR,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8.877,93 </w:t>
      </w:r>
      <w:proofErr w:type="gramStart"/>
      <w:r>
        <w:t>EUR,  </w:t>
      </w:r>
      <w:proofErr w:type="spellStart"/>
      <w:r>
        <w:t>slijedom</w:t>
      </w:r>
      <w:proofErr w:type="spellEnd"/>
      <w:proofErr w:type="gram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189.482,23 EUR.</w:t>
      </w:r>
    </w:p>
    <w:p w:rsidR="00DF0AF1" w:rsidRDefault="001144EF">
      <w:r>
        <w:br/>
      </w:r>
    </w:p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2.162.005,26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2.737.208,24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:rsidR="00DF0AF1" w:rsidRDefault="00DF0AF1">
      <w:pPr>
        <w:spacing w:after="0"/>
      </w:pPr>
    </w:p>
    <w:p w:rsidR="00DF0AF1" w:rsidRDefault="001144EF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2.737.208,24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</w:t>
      </w:r>
      <w:r>
        <w:t>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>.</w:t>
      </w:r>
    </w:p>
    <w:p w:rsidR="00DF0AF1" w:rsidRDefault="00DF0AF1"/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2.113.487,33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2.917.812,54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DF0AF1" w:rsidRDefault="00DF0AF1">
      <w:pPr>
        <w:spacing w:after="0"/>
      </w:pPr>
    </w:p>
    <w:p w:rsidR="00DF0AF1" w:rsidRDefault="001144EF">
      <w:r>
        <w:t xml:space="preserve"> 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2.917.812,54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koeficijenta</w:t>
      </w:r>
      <w:proofErr w:type="spellEnd"/>
      <w:r>
        <w:t>. </w:t>
      </w:r>
    </w:p>
    <w:p w:rsidR="00DF0AF1" w:rsidRDefault="00DF0AF1"/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</w:t>
      </w:r>
      <w:r>
        <w:rPr>
          <w:sz w:val="28"/>
        </w:rPr>
        <w:t>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pokriće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sljedećem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Y005 + '9222-9221' - X005 -</w:t>
            </w:r>
            <w:r>
              <w:rPr>
                <w:sz w:val="18"/>
              </w:rPr>
              <w:t xml:space="preserve"> '9221-9222</w:t>
            </w:r>
            <w:proofErr w:type="gramStart"/>
            <w:r>
              <w:rPr>
                <w:sz w:val="18"/>
              </w:rPr>
              <w:t>' )</w:t>
            </w:r>
            <w:proofErr w:type="gram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7.864,39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197.346,62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2509,4</w:t>
            </w:r>
          </w:p>
        </w:tc>
      </w:tr>
    </w:tbl>
    <w:p w:rsidR="00DF0AF1" w:rsidRDefault="00DF0AF1">
      <w:pPr>
        <w:spacing w:after="0"/>
      </w:pPr>
    </w:p>
    <w:p w:rsidR="00DF0AF1" w:rsidRDefault="001144EF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za </w:t>
      </w:r>
      <w:proofErr w:type="spellStart"/>
      <w:r>
        <w:t>pokriće</w:t>
      </w:r>
      <w:proofErr w:type="spellEnd"/>
      <w:r>
        <w:t xml:space="preserve"> u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 u </w:t>
      </w:r>
      <w:proofErr w:type="spellStart"/>
      <w:r>
        <w:t>iznosu</w:t>
      </w:r>
      <w:proofErr w:type="spellEnd"/>
      <w:r>
        <w:t xml:space="preserve"> od 189.482,23 EUR </w:t>
      </w:r>
      <w:proofErr w:type="spellStart"/>
      <w:r>
        <w:lastRenderedPageBreak/>
        <w:t>zbog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dospijeće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siječnju</w:t>
      </w:r>
      <w:proofErr w:type="spellEnd"/>
      <w:r>
        <w:t xml:space="preserve"> 2026.godine,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prenesei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7.864,39 EUR.</w:t>
      </w:r>
    </w:p>
    <w:p w:rsidR="00DF0AF1" w:rsidRDefault="00DF0AF1"/>
    <w:p w:rsidR="00DF0AF1" w:rsidRDefault="001144E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obujmu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13.341,29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F0AF1" w:rsidRDefault="00DF0AF1">
      <w:pPr>
        <w:spacing w:after="0"/>
      </w:pPr>
    </w:p>
    <w:p w:rsidR="00DF0AF1" w:rsidRDefault="001144EF">
      <w:proofErr w:type="spellStart"/>
      <w:r>
        <w:t>Promjene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13.341,29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proofErr w:type="gramStart"/>
      <w:r>
        <w:t>tj.amortizaciju</w:t>
      </w:r>
      <w:proofErr w:type="spellEnd"/>
      <w:proofErr w:type="gram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(13.333,83 </w:t>
      </w:r>
      <w:proofErr w:type="spellStart"/>
      <w:r>
        <w:t>eur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isknjiženje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(7,46 </w:t>
      </w:r>
      <w:proofErr w:type="spellStart"/>
      <w:r>
        <w:t>eur</w:t>
      </w:r>
      <w:proofErr w:type="spellEnd"/>
      <w:r>
        <w:t>).</w:t>
      </w:r>
    </w:p>
    <w:p w:rsidR="00DF0AF1" w:rsidRDefault="00DF0AF1"/>
    <w:p w:rsidR="00DF0AF1" w:rsidRDefault="001144E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DF0AF1" w:rsidRDefault="001144E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F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F0A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DF0A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F0AF1" w:rsidRDefault="00114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F0AF1" w:rsidRDefault="00DF0AF1">
      <w:pPr>
        <w:spacing w:after="0"/>
      </w:pPr>
    </w:p>
    <w:p w:rsidR="00DF0AF1" w:rsidRDefault="001144EF">
      <w:r>
        <w:t xml:space="preserve">Na dan 31.12.2025.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dospijelih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dospijećem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31.12.2025.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>.</w:t>
      </w:r>
    </w:p>
    <w:p w:rsidR="00DF0AF1" w:rsidRDefault="00DF0AF1"/>
    <w:sectPr w:rsidR="00DF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1"/>
    <w:rsid w:val="001144EF"/>
    <w:rsid w:val="00D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41D09-2252-460E-8EB2-5C06CC93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Sever</dc:creator>
  <cp:lastModifiedBy>Ines Sever</cp:lastModifiedBy>
  <cp:revision>2</cp:revision>
  <dcterms:created xsi:type="dcterms:W3CDTF">2026-02-02T15:23:00Z</dcterms:created>
  <dcterms:modified xsi:type="dcterms:W3CDTF">2026-02-02T15:23:00Z</dcterms:modified>
</cp:coreProperties>
</file>